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25" w:rsidRDefault="00372A25"/>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trPr>
          <w:cantSplit/>
          <w:trHeight w:hRule="exact" w:val="794"/>
        </w:trPr>
        <w:tc>
          <w:tcPr>
            <w:tcW w:w="8505" w:type="dxa"/>
            <w:tcBorders>
              <w:top w:val="nil"/>
              <w:left w:val="nil"/>
              <w:bottom w:val="nil"/>
              <w:right w:val="nil"/>
            </w:tcBorders>
          </w:tcPr>
          <w:p w:rsidR="00A72BF4" w:rsidRDefault="00A72BF4">
            <w:pPr>
              <w:pStyle w:val="11ptbold"/>
              <w:rPr>
                <w:b w:val="0"/>
                <w:caps w:val="0"/>
              </w:rPr>
            </w:pPr>
            <w:r>
              <w:t>Information aux médias</w:t>
            </w:r>
          </w:p>
        </w:tc>
      </w:tr>
      <w:tr w:rsidR="00A72BF4" w:rsidRPr="00B27FCD">
        <w:trPr>
          <w:cantSplit/>
          <w:trHeight w:val="320"/>
        </w:trPr>
        <w:tc>
          <w:tcPr>
            <w:tcW w:w="8505" w:type="dxa"/>
            <w:tcBorders>
              <w:top w:val="nil"/>
              <w:left w:val="nil"/>
              <w:bottom w:val="nil"/>
              <w:right w:val="nil"/>
            </w:tcBorders>
          </w:tcPr>
          <w:p w:rsidR="0016437B" w:rsidRPr="0016437B" w:rsidRDefault="006F7FAA" w:rsidP="00025A1F">
            <w:pPr>
              <w:pStyle w:val="Thema"/>
              <w:spacing w:after="120" w:line="240" w:lineRule="auto"/>
            </w:pPr>
            <w:r>
              <w:t>Les petits gestes font toute la différence</w:t>
            </w:r>
          </w:p>
        </w:tc>
      </w:tr>
      <w:tr w:rsidR="0016437B" w:rsidRPr="00F1130B" w:rsidTr="00AE45C2">
        <w:trPr>
          <w:trHeight w:val="340"/>
        </w:trPr>
        <w:tc>
          <w:tcPr>
            <w:tcW w:w="8505" w:type="dxa"/>
            <w:tcBorders>
              <w:top w:val="nil"/>
              <w:left w:val="nil"/>
              <w:bottom w:val="nil"/>
              <w:right w:val="nil"/>
            </w:tcBorders>
          </w:tcPr>
          <w:p w:rsidR="0016437B" w:rsidRPr="00F1130B" w:rsidRDefault="00AC39F5" w:rsidP="006F7FAA">
            <w:pPr>
              <w:spacing w:after="480" w:line="240" w:lineRule="exact"/>
              <w:jc w:val="left"/>
              <w:rPr>
                <w:b/>
                <w:bCs/>
                <w:sz w:val="20"/>
                <w:szCs w:val="20"/>
              </w:rPr>
            </w:pPr>
            <w:bookmarkStart w:id="0" w:name="BkmStart"/>
            <w:r>
              <w:rPr>
                <w:b/>
                <w:sz w:val="20"/>
              </w:rPr>
              <w:t>Nouveau garage CEA de septembre 2017 : Amag Nyon, Nyon (VD)</w:t>
            </w:r>
          </w:p>
        </w:tc>
      </w:tr>
      <w:tr w:rsidR="00A72BF4" w:rsidRPr="00E502BF">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rsidTr="005A7B99">
              <w:trPr>
                <w:trHeight w:val="340"/>
              </w:trPr>
              <w:tc>
                <w:tcPr>
                  <w:tcW w:w="8505" w:type="dxa"/>
                </w:tcPr>
                <w:bookmarkEnd w:id="0"/>
                <w:p w:rsidR="00041E78" w:rsidRPr="00E502BF" w:rsidRDefault="00C53E37" w:rsidP="00E502BF">
                  <w:pPr>
                    <w:spacing w:line="276" w:lineRule="auto"/>
                    <w:rPr>
                      <w:b/>
                      <w:sz w:val="20"/>
                      <w:szCs w:val="20"/>
                    </w:rPr>
                  </w:pPr>
                  <w:r>
                    <w:rPr>
                      <w:b/>
                      <w:i/>
                      <w:sz w:val="20"/>
                    </w:rPr>
                    <w:t>Berne, le 12</w:t>
                  </w:r>
                  <w:bookmarkStart w:id="1" w:name="_GoBack"/>
                  <w:bookmarkEnd w:id="1"/>
                  <w:r w:rsidR="00F1130B">
                    <w:rPr>
                      <w:b/>
                      <w:i/>
                      <w:sz w:val="20"/>
                    </w:rPr>
                    <w:t xml:space="preserve"> octobre 2017</w:t>
                  </w:r>
                  <w:r w:rsidR="00F1130B">
                    <w:rPr>
                      <w:b/>
                      <w:sz w:val="20"/>
                    </w:rPr>
                    <w:t xml:space="preserve"> – Meneur en 2016, en pause de ravitaillement en 2017, et maintenant le comeback : Amag Nyon est le nouveau garage CEA du mois de septembre. Grâce au CEA, le garage est perçu comme un prestataire de services et peut ainsi doper ses ventes additionnelles.</w:t>
                  </w:r>
                </w:p>
                <w:p w:rsidR="00041E78" w:rsidRPr="00E502BF" w:rsidRDefault="00041E78" w:rsidP="00E502BF">
                  <w:pPr>
                    <w:spacing w:line="276" w:lineRule="auto"/>
                    <w:rPr>
                      <w:b/>
                      <w:sz w:val="20"/>
                      <w:szCs w:val="20"/>
                    </w:rPr>
                  </w:pPr>
                </w:p>
              </w:tc>
            </w:tr>
            <w:tr w:rsidR="00041E78" w:rsidRPr="00E502BF" w:rsidTr="005A7B99">
              <w:trPr>
                <w:trHeight w:val="709"/>
              </w:trPr>
              <w:tc>
                <w:tcPr>
                  <w:tcW w:w="8505" w:type="dxa"/>
                </w:tcPr>
                <w:p w:rsidR="006F7FAA" w:rsidRPr="006F7FAA" w:rsidRDefault="006F7FAA" w:rsidP="006F7FAA">
                  <w:pPr>
                    <w:spacing w:line="276" w:lineRule="auto"/>
                    <w:rPr>
                      <w:rFonts w:cs="Arial"/>
                      <w:bCs/>
                      <w:sz w:val="20"/>
                      <w:szCs w:val="20"/>
                    </w:rPr>
                  </w:pPr>
                  <w:r>
                    <w:rPr>
                      <w:sz w:val="20"/>
                    </w:rPr>
                    <w:t>Situé sur la route de Lausanne à Nyon, Amag Nyon n’est pas nouveau à proprement parler. Alors que le membre de l’UPSA était dans le peloton de tête du CheckEnergieAuto (CEA) en 2016, le garage vaudois a perdu du terrain en raison de son engagement en faveur de la pérennité. Le garage fait toutefois son grand retour en septembre 2017 et peut fêter comme il se doit son titre de nouveau garage CEA.</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Pr>
                      <w:b/>
                      <w:sz w:val="20"/>
                    </w:rPr>
                    <w:t>Davantage de CEA par collaborateur effectués</w:t>
                  </w:r>
                </w:p>
                <w:p w:rsidR="006F7FAA" w:rsidRPr="006F7FAA" w:rsidRDefault="006F7FAA" w:rsidP="006F7FAA">
                  <w:pPr>
                    <w:spacing w:line="276" w:lineRule="auto"/>
                    <w:rPr>
                      <w:rFonts w:cs="Arial"/>
                      <w:bCs/>
                      <w:sz w:val="20"/>
                      <w:szCs w:val="20"/>
                    </w:rPr>
                  </w:pPr>
                  <w:r>
                    <w:rPr>
                      <w:sz w:val="20"/>
                    </w:rPr>
                    <w:t>Alors que le Garage Gisler AG d’Erstfeld (99 contrôles), Turbotec GmbH d’Altdorf (62) et le Garage Moderne SA de Bulle (61) se hissent en tête du classement en septembre, le représentant romand d’Amag se distingue en termes de taux. Outre le nombre de contrôles effectués, le classement CEA tient en effet compte du nombre de collaborateurs. Un effort auquel consent l'équipe d’Amag Nyon dans le cadre des travaux de maintenance et d’entretien qui arrivent à échéance.</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Pr>
                      <w:b/>
                      <w:sz w:val="20"/>
                    </w:rPr>
                    <w:t>Le CEA coule de source</w:t>
                  </w:r>
                </w:p>
                <w:p w:rsidR="006F7FAA" w:rsidRPr="006F7FAA" w:rsidRDefault="006F7FAA" w:rsidP="006F7FAA">
                  <w:pPr>
                    <w:spacing w:line="276" w:lineRule="auto"/>
                    <w:rPr>
                      <w:rFonts w:cs="Arial"/>
                      <w:bCs/>
                      <w:sz w:val="20"/>
                      <w:szCs w:val="20"/>
                    </w:rPr>
                  </w:pPr>
                  <w:r>
                    <w:rPr>
                      <w:sz w:val="20"/>
                    </w:rPr>
                    <w:t>Le CEA coule de source comme le dit si bien Tiago Oliveira, responsable de l’après-vente chez Amag Nyon. Le CEA, une prestation proactive de conseil et de service, le séduit surtout du fait des retours positifs : « Nos clients apprécient notamment la manière dont nous attirons activement leur attention sur le fait qu’ils peuvent réduire leur consommation de carburant, et partant leurs dépenses. »</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Pr>
                      <w:b/>
                      <w:sz w:val="20"/>
                    </w:rPr>
                    <w:t>Écho positif de la part des clients</w:t>
                  </w:r>
                </w:p>
                <w:p w:rsidR="006F7FAA" w:rsidRPr="006F7FAA" w:rsidRDefault="006F7FAA" w:rsidP="006F7FAA">
                  <w:pPr>
                    <w:spacing w:line="276" w:lineRule="auto"/>
                    <w:rPr>
                      <w:rFonts w:cs="Arial"/>
                      <w:bCs/>
                      <w:sz w:val="20"/>
                      <w:szCs w:val="20"/>
                    </w:rPr>
                  </w:pPr>
                  <w:r>
                    <w:rPr>
                      <w:sz w:val="20"/>
                    </w:rPr>
                    <w:t>Outre l’effet de fidélisation de la clientèle du CEA, Amag Nyon remarque une réorientation dans ses propres rangs, ce qui a un effet bénéfique : « Nous constatons, dans un premier temps, qu’une partie de nos collaborateurs sont sensibilisés aux avantages du CEA et donc aux moyens de réduire la consommation de carburant et aux petits gestes qui font toute la différence », poursuit M. Oliveira. Cette réorientation des collaborateurs se répercute dans l’approche des clients : « Ces derniers se réjouissent d'être eux aussi sensibilisés à une conduite pérenne et finalement moins onéreuse grâce aux connaissances supplémentaires de nos collaborateurs. »</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Pr>
                      <w:b/>
                      <w:sz w:val="20"/>
                    </w:rPr>
                    <w:t>Le CEA dope les ventes additionnelles</w:t>
                  </w:r>
                </w:p>
                <w:p w:rsidR="009261C7" w:rsidRDefault="006F7FAA" w:rsidP="006F7FAA">
                  <w:pPr>
                    <w:spacing w:line="276" w:lineRule="auto"/>
                    <w:rPr>
                      <w:rFonts w:cs="Arial"/>
                      <w:bCs/>
                      <w:sz w:val="20"/>
                      <w:szCs w:val="20"/>
                    </w:rPr>
                  </w:pPr>
                  <w:r>
                    <w:rPr>
                      <w:sz w:val="20"/>
                    </w:rPr>
                    <w:t>Enfin, un autre effet positif se profile pour Amag Nyon. « Il est possible d’expliquer la qualité et l’usure des pneus à l’occasion de l’entretien explicatif sur le CEA avec le client », déclare M. Oliveira. Le garage peut ainsi informer le client de la possibilité d’acheter des pneus générant moins de frottements ou des accessoires aérodynamiques tels qu’un porte-vélos ou un coffre de toit.</w:t>
                  </w:r>
                </w:p>
                <w:p w:rsidR="006F7FAA" w:rsidRDefault="006F7FAA" w:rsidP="00E502BF">
                  <w:pPr>
                    <w:spacing w:line="276" w:lineRule="auto"/>
                    <w:rPr>
                      <w:rFonts w:cs="Arial"/>
                      <w:bCs/>
                      <w:i/>
                      <w:sz w:val="20"/>
                      <w:szCs w:val="20"/>
                    </w:rPr>
                  </w:pPr>
                </w:p>
                <w:p w:rsidR="006F7FAA" w:rsidRDefault="006F7FAA" w:rsidP="00E502BF">
                  <w:pPr>
                    <w:spacing w:line="276" w:lineRule="auto"/>
                    <w:rPr>
                      <w:rFonts w:cs="Arial"/>
                      <w:bCs/>
                      <w:i/>
                      <w:sz w:val="20"/>
                      <w:szCs w:val="20"/>
                    </w:rPr>
                  </w:pPr>
                </w:p>
                <w:p w:rsidR="006F7FAA" w:rsidRDefault="006F7FAA" w:rsidP="00E502BF">
                  <w:pPr>
                    <w:spacing w:line="276" w:lineRule="auto"/>
                    <w:rPr>
                      <w:rFonts w:cs="Arial"/>
                      <w:bCs/>
                      <w:i/>
                      <w:sz w:val="20"/>
                      <w:szCs w:val="20"/>
                    </w:rPr>
                  </w:pPr>
                </w:p>
                <w:p w:rsidR="009261C7" w:rsidRDefault="009261C7" w:rsidP="00E502BF">
                  <w:pPr>
                    <w:spacing w:line="276" w:lineRule="auto"/>
                    <w:rPr>
                      <w:rFonts w:cs="Arial"/>
                      <w:bCs/>
                      <w:i/>
                      <w:sz w:val="20"/>
                      <w:szCs w:val="20"/>
                    </w:rPr>
                  </w:pPr>
                  <w:r>
                    <w:rPr>
                      <w:i/>
                      <w:sz w:val="20"/>
                    </w:rPr>
                    <w:t>Légende</w:t>
                  </w:r>
                </w:p>
                <w:p w:rsidR="005E5A12" w:rsidRPr="009261C7" w:rsidRDefault="006F7FAA" w:rsidP="005E5A12">
                  <w:pPr>
                    <w:spacing w:line="276" w:lineRule="auto"/>
                    <w:rPr>
                      <w:rFonts w:cs="Arial"/>
                      <w:bCs/>
                      <w:i/>
                      <w:sz w:val="20"/>
                      <w:szCs w:val="20"/>
                    </w:rPr>
                  </w:pPr>
                  <w:r>
                    <w:rPr>
                      <w:i/>
                      <w:sz w:val="20"/>
                    </w:rPr>
                    <w:t>Le travail d'équipe à l’origine du succès du nouveau garage CEA : les collaborateurs d’Amag Nyon.</w:t>
                  </w:r>
                </w:p>
                <w:p w:rsidR="00041E78" w:rsidRPr="004F02AC" w:rsidRDefault="004F02AC" w:rsidP="00A5044D">
                  <w:pPr>
                    <w:spacing w:line="276" w:lineRule="auto"/>
                    <w:rPr>
                      <w:i/>
                      <w:sz w:val="20"/>
                      <w:szCs w:val="20"/>
                    </w:rPr>
                  </w:pPr>
                  <w:r>
                    <w:rPr>
                      <w:i/>
                      <w:sz w:val="18"/>
                    </w:rPr>
                    <w:t xml:space="preserve"> </w:t>
                  </w:r>
                </w:p>
              </w:tc>
            </w:tr>
          </w:tbl>
          <w:p w:rsidR="006F5208" w:rsidRPr="00E502BF" w:rsidRDefault="006F5208" w:rsidP="00E502BF">
            <w:pPr>
              <w:spacing w:line="276" w:lineRule="auto"/>
              <w:rPr>
                <w:b/>
                <w:sz w:val="20"/>
                <w:szCs w:val="20"/>
              </w:rPr>
            </w:pPr>
          </w:p>
        </w:tc>
      </w:tr>
      <w:tr w:rsidR="00A72BF4">
        <w:trPr>
          <w:cantSplit/>
          <w:trHeight w:val="340"/>
        </w:trPr>
        <w:tc>
          <w:tcPr>
            <w:tcW w:w="8505" w:type="dxa"/>
            <w:tcBorders>
              <w:top w:val="nil"/>
              <w:left w:val="nil"/>
              <w:bottom w:val="nil"/>
              <w:right w:val="nil"/>
            </w:tcBorders>
          </w:tcPr>
          <w:p w:rsidR="001A6EB3" w:rsidRDefault="001A6EB3" w:rsidP="001A6EB3">
            <w:pPr>
              <w:pStyle w:val="fuerFragenkursiv"/>
              <w:spacing w:line="240" w:lineRule="auto"/>
              <w:rPr>
                <w:b/>
                <w:sz w:val="18"/>
              </w:rPr>
            </w:pPr>
          </w:p>
          <w:p w:rsidR="00C404AF" w:rsidRDefault="00C404AF" w:rsidP="001A6EB3">
            <w:pPr>
              <w:spacing w:line="240" w:lineRule="auto"/>
              <w:rPr>
                <w:b/>
                <w:i/>
                <w:color w:val="000000"/>
                <w:sz w:val="18"/>
                <w:szCs w:val="18"/>
              </w:rPr>
            </w:pPr>
            <w:r>
              <w:rPr>
                <w:noProof/>
                <w:lang w:val="de-CH" w:eastAsia="de-CH" w:bidi="ar-SA"/>
              </w:rPr>
              <w:drawing>
                <wp:anchor distT="0" distB="0" distL="114300" distR="114300" simplePos="0" relativeHeight="251659264" behindDoc="0" locked="0" layoutInCell="1" allowOverlap="1" wp14:anchorId="442001A6" wp14:editId="1AEC0C82">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rsidR="00C404AF" w:rsidRDefault="00C404AF" w:rsidP="001A6EB3">
            <w:pPr>
              <w:spacing w:line="240" w:lineRule="auto"/>
              <w:rPr>
                <w:b/>
                <w:i/>
                <w:color w:val="000000"/>
                <w:sz w:val="18"/>
                <w:szCs w:val="18"/>
              </w:rPr>
            </w:pPr>
          </w:p>
          <w:p w:rsidR="00567062" w:rsidRDefault="00567062" w:rsidP="001A6EB3">
            <w:pPr>
              <w:spacing w:line="240" w:lineRule="auto"/>
              <w:rPr>
                <w:b/>
                <w:i/>
                <w:color w:val="000000"/>
                <w:sz w:val="18"/>
                <w:szCs w:val="18"/>
              </w:rPr>
            </w:pPr>
          </w:p>
          <w:p w:rsidR="00A72BF4" w:rsidRPr="00567062" w:rsidRDefault="00C404AF" w:rsidP="001A6EB3">
            <w:pPr>
              <w:spacing w:line="240" w:lineRule="auto"/>
              <w:rPr>
                <w:i/>
                <w:color w:val="000000"/>
                <w:sz w:val="18"/>
                <w:szCs w:val="18"/>
              </w:rPr>
            </w:pPr>
            <w:r>
              <w:rPr>
                <w:noProof/>
                <w:lang w:val="de-CH" w:eastAsia="de-CH" w:bidi="ar-SA"/>
              </w:rPr>
              <w:drawing>
                <wp:anchor distT="0" distB="0" distL="114300" distR="114300" simplePos="0" relativeHeight="251656192" behindDoc="0" locked="0" layoutInCell="1" allowOverlap="1" wp14:anchorId="19970BFC" wp14:editId="52B38E73">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1E78" w:rsidRPr="003D2F5A" w:rsidRDefault="003D0427" w:rsidP="00AC52FA">
      <w:pPr>
        <w:spacing w:line="300" w:lineRule="auto"/>
        <w:rPr>
          <w:sz w:val="16"/>
          <w:szCs w:val="16"/>
        </w:rPr>
      </w:pPr>
      <w:r>
        <w:rPr>
          <w:sz w:val="16"/>
        </w:rPr>
        <w:t>Avec le soutien de :</w:t>
      </w:r>
    </w:p>
    <w:sectPr w:rsidR="00041E78" w:rsidRPr="003D2F5A" w:rsidSect="005E5A12">
      <w:footerReference w:type="default" r:id="rId10"/>
      <w:headerReference w:type="first" r:id="rId11"/>
      <w:footerReference w:type="first" r:id="rId12"/>
      <w:pgSz w:w="11907" w:h="16840" w:code="150"/>
      <w:pgMar w:top="1985" w:right="1985" w:bottom="1560" w:left="1418" w:header="0"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0C" w:rsidRDefault="00F55C0C">
      <w:r>
        <w:separator/>
      </w:r>
    </w:p>
  </w:endnote>
  <w:endnote w:type="continuationSeparator" w:id="0">
    <w:p w:rsidR="00F55C0C" w:rsidRDefault="00F5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173"/>
      <w:gridCol w:w="3331"/>
    </w:tblGrid>
    <w:tr w:rsidR="009A2448">
      <w:trPr>
        <w:trHeight w:val="160"/>
      </w:trPr>
      <w:tc>
        <w:tcPr>
          <w:tcW w:w="6067" w:type="dxa"/>
          <w:vAlign w:val="bottom"/>
        </w:tcPr>
        <w:p w:rsidR="009A2448" w:rsidRPr="00662A10" w:rsidRDefault="009A2448">
          <w:pPr>
            <w:pStyle w:val="Speicherpfad6pt"/>
            <w:rPr>
              <w:sz w:val="16"/>
              <w:szCs w:val="16"/>
            </w:rPr>
          </w:pPr>
          <w:r>
            <w:rPr>
              <w:sz w:val="16"/>
            </w:rPr>
            <w:t>Page </w:t>
          </w:r>
          <w:r w:rsidRPr="00662A10">
            <w:rPr>
              <w:rStyle w:val="Seitenzahl"/>
              <w:sz w:val="16"/>
              <w:szCs w:val="16"/>
            </w:rPr>
            <w:fldChar w:fldCharType="begin"/>
          </w:r>
          <w:r w:rsidRPr="00662A10">
            <w:rPr>
              <w:rStyle w:val="Seitenzahl"/>
              <w:sz w:val="16"/>
              <w:szCs w:val="16"/>
            </w:rPr>
            <w:instrText xml:space="preserve"> PAGE </w:instrText>
          </w:r>
          <w:r w:rsidRPr="00662A10">
            <w:rPr>
              <w:rStyle w:val="Seitenzahl"/>
              <w:sz w:val="16"/>
              <w:szCs w:val="16"/>
            </w:rPr>
            <w:fldChar w:fldCharType="separate"/>
          </w:r>
          <w:r w:rsidR="00C53E37">
            <w:rPr>
              <w:rStyle w:val="Seitenzahl"/>
              <w:noProof/>
              <w:sz w:val="16"/>
              <w:szCs w:val="16"/>
            </w:rPr>
            <w:t>2</w:t>
          </w:r>
          <w:r w:rsidRPr="00662A10">
            <w:rPr>
              <w:rStyle w:val="Seitenzahl"/>
              <w:sz w:val="16"/>
              <w:szCs w:val="16"/>
            </w:rPr>
            <w:fldChar w:fldCharType="end"/>
          </w:r>
        </w:p>
      </w:tc>
      <w:tc>
        <w:tcPr>
          <w:tcW w:w="3969" w:type="dxa"/>
        </w:tcPr>
        <w:p w:rsidR="009A2448" w:rsidRDefault="009A2448">
          <w:pPr>
            <w:pStyle w:val="Speicherpfad6pt"/>
          </w:pPr>
        </w:p>
      </w:tc>
    </w:tr>
  </w:tbl>
  <w:p w:rsidR="00662A10" w:rsidRDefault="00662A10" w:rsidP="007107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141"/>
      <w:gridCol w:w="3363"/>
    </w:tblGrid>
    <w:tr w:rsidR="009A2448">
      <w:trPr>
        <w:trHeight w:val="160"/>
      </w:trPr>
      <w:tc>
        <w:tcPr>
          <w:tcW w:w="6067" w:type="dxa"/>
          <w:vAlign w:val="bottom"/>
        </w:tcPr>
        <w:p w:rsidR="009A2448" w:rsidRDefault="009A2448" w:rsidP="001A6EB3">
          <w:pPr>
            <w:pStyle w:val="Speicherpfad6pt"/>
            <w:ind w:right="-4215"/>
          </w:pPr>
        </w:p>
      </w:tc>
      <w:tc>
        <w:tcPr>
          <w:tcW w:w="3969" w:type="dxa"/>
        </w:tcPr>
        <w:p w:rsidR="009A2448" w:rsidRDefault="001A6EB3">
          <w:pPr>
            <w:pStyle w:val="Speicherpfad6pt"/>
          </w:pPr>
          <w:r>
            <w:rPr>
              <w:noProof/>
              <w:vanish/>
              <w:lang w:val="de-CH" w:eastAsia="de-CH" w:bidi="ar-SA"/>
            </w:rPr>
            <w:drawing>
              <wp:anchor distT="0" distB="0" distL="114300" distR="114300" simplePos="0" relativeHeight="251661312" behindDoc="0" locked="0" layoutInCell="1" allowOverlap="1" wp14:anchorId="56DEC39E" wp14:editId="3B035EEA">
                <wp:simplePos x="0" y="0"/>
                <wp:positionH relativeFrom="column">
                  <wp:posOffset>938530</wp:posOffset>
                </wp:positionH>
                <wp:positionV relativeFrom="paragraph">
                  <wp:posOffset>-240970</wp:posOffset>
                </wp:positionV>
                <wp:extent cx="1806575" cy="416560"/>
                <wp:effectExtent l="0" t="0" r="3175" b="254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p>
      </w:tc>
    </w:tr>
  </w:tbl>
  <w:p w:rsidR="009A2448" w:rsidRDefault="009A2448">
    <w:pPr>
      <w:pStyle w:val="Kopfzeil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0C" w:rsidRDefault="00F55C0C">
      <w:r>
        <w:separator/>
      </w:r>
    </w:p>
  </w:footnote>
  <w:footnote w:type="continuationSeparator" w:id="0">
    <w:p w:rsidR="00F55C0C" w:rsidRDefault="00F5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48" w:rsidRDefault="00BE3BF4" w:rsidP="006656A8">
    <w:r>
      <w:rPr>
        <w:noProof/>
        <w:lang w:val="de-CH" w:eastAsia="de-CH" w:bidi="ar-SA"/>
      </w:rPr>
      <w:drawing>
        <wp:anchor distT="0" distB="0" distL="114300" distR="114300" simplePos="0" relativeHeight="251659264" behindDoc="0" locked="0" layoutInCell="1" allowOverlap="1" wp14:anchorId="3E412EEE" wp14:editId="65B24649">
          <wp:simplePos x="0" y="0"/>
          <wp:positionH relativeFrom="column">
            <wp:posOffset>2550160</wp:posOffset>
          </wp:positionH>
          <wp:positionV relativeFrom="paragraph">
            <wp:posOffset>387350</wp:posOffset>
          </wp:positionV>
          <wp:extent cx="781050" cy="781050"/>
          <wp:effectExtent l="0" t="0" r="0" b="0"/>
          <wp:wrapNone/>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6192" behindDoc="0" locked="0" layoutInCell="1" allowOverlap="1" wp14:anchorId="033F58F5" wp14:editId="30445AD7">
          <wp:simplePos x="0" y="0"/>
          <wp:positionH relativeFrom="column">
            <wp:posOffset>3878580</wp:posOffset>
          </wp:positionH>
          <wp:positionV relativeFrom="paragraph">
            <wp:posOffset>499745</wp:posOffset>
          </wp:positionV>
          <wp:extent cx="2257425" cy="581025"/>
          <wp:effectExtent l="0" t="0" r="9525" b="9525"/>
          <wp:wrapNone/>
          <wp:docPr id="2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8240" behindDoc="0" locked="0" layoutInCell="1" allowOverlap="1" wp14:anchorId="495DA78C" wp14:editId="28F1949B">
          <wp:simplePos x="0" y="0"/>
          <wp:positionH relativeFrom="column">
            <wp:posOffset>23495</wp:posOffset>
          </wp:positionH>
          <wp:positionV relativeFrom="paragraph">
            <wp:posOffset>10043795</wp:posOffset>
          </wp:positionV>
          <wp:extent cx="1924050" cy="412115"/>
          <wp:effectExtent l="0" t="0" r="0" b="6985"/>
          <wp:wrapNone/>
          <wp:docPr id="21"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7"/>
    <w:rsid w:val="000057EB"/>
    <w:rsid w:val="00005F84"/>
    <w:rsid w:val="00010DE1"/>
    <w:rsid w:val="00011DFB"/>
    <w:rsid w:val="00016200"/>
    <w:rsid w:val="00025A1F"/>
    <w:rsid w:val="00041E78"/>
    <w:rsid w:val="00044467"/>
    <w:rsid w:val="0005205E"/>
    <w:rsid w:val="00062B04"/>
    <w:rsid w:val="00073155"/>
    <w:rsid w:val="000733AA"/>
    <w:rsid w:val="00073E06"/>
    <w:rsid w:val="00076330"/>
    <w:rsid w:val="00076939"/>
    <w:rsid w:val="000811C4"/>
    <w:rsid w:val="00084837"/>
    <w:rsid w:val="00085A4D"/>
    <w:rsid w:val="0009159E"/>
    <w:rsid w:val="00091CCA"/>
    <w:rsid w:val="000A21D0"/>
    <w:rsid w:val="000B49DA"/>
    <w:rsid w:val="000B5575"/>
    <w:rsid w:val="000B5DE6"/>
    <w:rsid w:val="000C3B86"/>
    <w:rsid w:val="000D38AE"/>
    <w:rsid w:val="000D4F13"/>
    <w:rsid w:val="000D57D2"/>
    <w:rsid w:val="0010275E"/>
    <w:rsid w:val="00114318"/>
    <w:rsid w:val="0011503B"/>
    <w:rsid w:val="00117D33"/>
    <w:rsid w:val="0012324E"/>
    <w:rsid w:val="00136C29"/>
    <w:rsid w:val="0015079F"/>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55D0"/>
    <w:rsid w:val="00250288"/>
    <w:rsid w:val="002622FB"/>
    <w:rsid w:val="00272CEE"/>
    <w:rsid w:val="00277AC2"/>
    <w:rsid w:val="002833DA"/>
    <w:rsid w:val="002A36F1"/>
    <w:rsid w:val="002B1F64"/>
    <w:rsid w:val="002B6115"/>
    <w:rsid w:val="002D015D"/>
    <w:rsid w:val="002D2A61"/>
    <w:rsid w:val="002E1A4C"/>
    <w:rsid w:val="002E2356"/>
    <w:rsid w:val="002F1033"/>
    <w:rsid w:val="002F12FD"/>
    <w:rsid w:val="002F1EEF"/>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2A25"/>
    <w:rsid w:val="00374184"/>
    <w:rsid w:val="00381533"/>
    <w:rsid w:val="00382CE5"/>
    <w:rsid w:val="00384EAA"/>
    <w:rsid w:val="00386044"/>
    <w:rsid w:val="00387794"/>
    <w:rsid w:val="003972D8"/>
    <w:rsid w:val="003D01FC"/>
    <w:rsid w:val="003D0427"/>
    <w:rsid w:val="003D2F5A"/>
    <w:rsid w:val="003F1583"/>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5A12"/>
    <w:rsid w:val="005E69F0"/>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6F7FAA"/>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11E4C"/>
    <w:rsid w:val="00917349"/>
    <w:rsid w:val="009261C7"/>
    <w:rsid w:val="00927636"/>
    <w:rsid w:val="00930A14"/>
    <w:rsid w:val="00934137"/>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72BF4"/>
    <w:rsid w:val="00A777E9"/>
    <w:rsid w:val="00A97DEC"/>
    <w:rsid w:val="00A97DF5"/>
    <w:rsid w:val="00AA2FC4"/>
    <w:rsid w:val="00AB4FCE"/>
    <w:rsid w:val="00AC39F5"/>
    <w:rsid w:val="00AC52FA"/>
    <w:rsid w:val="00AD6BBB"/>
    <w:rsid w:val="00AE4221"/>
    <w:rsid w:val="00AE45C2"/>
    <w:rsid w:val="00AF13B5"/>
    <w:rsid w:val="00AF63DF"/>
    <w:rsid w:val="00B02F91"/>
    <w:rsid w:val="00B21E12"/>
    <w:rsid w:val="00B2614E"/>
    <w:rsid w:val="00B27FCD"/>
    <w:rsid w:val="00B302DF"/>
    <w:rsid w:val="00B32F78"/>
    <w:rsid w:val="00B42C70"/>
    <w:rsid w:val="00B5449B"/>
    <w:rsid w:val="00B61491"/>
    <w:rsid w:val="00B62114"/>
    <w:rsid w:val="00B6323F"/>
    <w:rsid w:val="00B701DD"/>
    <w:rsid w:val="00B81D42"/>
    <w:rsid w:val="00B9766B"/>
    <w:rsid w:val="00BA4239"/>
    <w:rsid w:val="00BB4311"/>
    <w:rsid w:val="00BC614C"/>
    <w:rsid w:val="00BE098A"/>
    <w:rsid w:val="00BE3BF4"/>
    <w:rsid w:val="00BE6E6A"/>
    <w:rsid w:val="00BF34AE"/>
    <w:rsid w:val="00C05CCD"/>
    <w:rsid w:val="00C05F58"/>
    <w:rsid w:val="00C226D9"/>
    <w:rsid w:val="00C261B8"/>
    <w:rsid w:val="00C404AF"/>
    <w:rsid w:val="00C40C5D"/>
    <w:rsid w:val="00C43EC7"/>
    <w:rsid w:val="00C53E37"/>
    <w:rsid w:val="00C729AE"/>
    <w:rsid w:val="00C7354B"/>
    <w:rsid w:val="00C82B6C"/>
    <w:rsid w:val="00C918D5"/>
    <w:rsid w:val="00CA46CA"/>
    <w:rsid w:val="00CB7DB4"/>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55C0C"/>
    <w:rsid w:val="00F61EAE"/>
    <w:rsid w:val="00F640A2"/>
    <w:rsid w:val="00F82D68"/>
    <w:rsid w:val="00F82DC2"/>
    <w:rsid w:val="00F846BD"/>
    <w:rsid w:val="00F90871"/>
    <w:rsid w:val="00F97AB4"/>
    <w:rsid w:val="00FA539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BC6C9F6"/>
  <w15:docId w15:val="{117A793C-2CE3-4D94-96A5-9F7D684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istler\Desktop\Manuskripte%20tki\AEC_Newcomer_ab_201707\AEC_Newcomer_Lokal_MM_August_Garage_Kramer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53B3-E9BD-4AD9-BF35-9B2F8C03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AEC_Newcomer_Lokal_MM_August_Garage_Kramer_d.dotx</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3013</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Tatjana Kistler</dc:creator>
  <cp:lastModifiedBy>Alain Kyd</cp:lastModifiedBy>
  <cp:revision>7</cp:revision>
  <cp:lastPrinted>2015-03-17T13:01:00Z</cp:lastPrinted>
  <dcterms:created xsi:type="dcterms:W3CDTF">2017-09-07T14:08:00Z</dcterms:created>
  <dcterms:modified xsi:type="dcterms:W3CDTF">2017-10-12T07:18:00Z</dcterms:modified>
</cp:coreProperties>
</file>